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eastAsia="宋体" w:cs="宋体"/>
          <w:b/>
          <w:bCs/>
          <w:color w:val="FF0000"/>
          <w:spacing w:val="-12"/>
          <w:w w:val="55"/>
          <w:sz w:val="144"/>
          <w:szCs w:val="144"/>
          <w:lang w:eastAsia="zh-CN"/>
        </w:rPr>
      </w:pPr>
      <w:r>
        <w:rPr>
          <w:rFonts w:hint="eastAsia" w:ascii="宋体" w:hAnsi="宋体"/>
          <w:spacing w:val="100"/>
          <w:sz w:val="144"/>
          <w:szCs w:val="14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1152525</wp:posOffset>
                </wp:positionV>
                <wp:extent cx="5760085" cy="0"/>
                <wp:effectExtent l="0" t="15875" r="5715" b="222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0" cmpd="sng">
                          <a:solidFill>
                            <a:srgbClr val="FF0000"/>
                          </a:solidFill>
                          <a:round/>
                        </a:ln>
                        <a:effectLst/>
                      </wps:spPr>
                      <wps:bodyPr/>
                    </wps:wsp>
                  </a:graphicData>
                </a:graphic>
              </wp:anchor>
            </w:drawing>
          </mc:Choice>
          <mc:Fallback>
            <w:pict>
              <v:line id="_x0000_s1026" o:spid="_x0000_s1026" o:spt="20" style="position:absolute;left:0pt;margin-left:-20.25pt;margin-top:90.75pt;height:0pt;width:453.55pt;z-index:251659264;mso-width-relative:page;mso-height-relative:page;" filled="f" stroked="t" coordsize="21600,21600" o:gfxdata="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zGe7rYAAAACwEAAA8AAAAAAAAAAQAgAAAAIgAAAGRycy9kb3ducmV2LnhtbFBLAQIU&#10;ABQAAAAIAIdO4kBzNOQD8wEAAMQDAAAOAAAAAAAAAAEAIAAAACcBAABkcnMvZTJvRG9jLnhtbFBL&#10;BQYAAAAABgAGAFkBAACMBQAAAAA=&#10;">
                <v:fill on="f" focussize="0,0"/>
                <v:stroke weight="2.5pt" color="#FF0000" joinstyle="round"/>
                <v:imagedata o:title=""/>
                <o:lock v:ext="edit" aspectratio="f"/>
              </v:line>
            </w:pict>
          </mc:Fallback>
        </mc:AlternateContent>
      </w:r>
      <w:r>
        <w:rPr>
          <w:rFonts w:hint="eastAsia" w:ascii="宋体" w:hAnsi="宋体" w:eastAsia="宋体" w:cs="宋体"/>
          <w:b/>
          <w:bCs/>
          <w:color w:val="FF0000"/>
          <w:spacing w:val="-12"/>
          <w:w w:val="55"/>
          <w:sz w:val="144"/>
          <w:szCs w:val="144"/>
        </w:rPr>
        <w:t>吉安</w:t>
      </w:r>
      <w:r>
        <w:rPr>
          <w:rFonts w:hint="eastAsia" w:ascii="宋体" w:hAnsi="宋体" w:eastAsia="宋体" w:cs="宋体"/>
          <w:b/>
          <w:bCs/>
          <w:color w:val="FF0000"/>
          <w:spacing w:val="-12"/>
          <w:w w:val="55"/>
          <w:sz w:val="144"/>
          <w:szCs w:val="144"/>
          <w:lang w:eastAsia="zh-CN"/>
        </w:rPr>
        <w:t>师范学校</w:t>
      </w:r>
    </w:p>
    <w:p>
      <w:pPr>
        <w:keepNext w:val="0"/>
        <w:keepLines w:val="0"/>
        <w:pageBreakBefore w:val="0"/>
        <w:widowControl w:val="0"/>
        <w:kinsoku/>
        <w:wordWrap/>
        <w:overflowPunct/>
        <w:topLinePunct w:val="0"/>
        <w:autoSpaceDE/>
        <w:autoSpaceDN/>
        <w:bidi w:val="0"/>
        <w:adjustRightInd/>
        <w:snapToGrid/>
        <w:spacing w:before="937" w:beforeLines="300" w:line="560" w:lineRule="exact"/>
        <w:jc w:val="center"/>
        <w:textAlignment w:val="auto"/>
        <w:rPr>
          <w:rFonts w:hint="eastAsia" w:ascii="方正小标宋简体" w:hAnsi="宋体" w:eastAsia="方正小标宋简体" w:cs="宋体"/>
          <w:sz w:val="44"/>
          <w:szCs w:val="44"/>
          <w:lang w:val="en-US" w:eastAsia="zh-CN"/>
        </w:rPr>
      </w:pPr>
      <w:r>
        <w:rPr>
          <w:rFonts w:hint="default" w:ascii="宋体" w:hAnsi="宋体"/>
          <w:spacing w:val="100"/>
          <w:sz w:val="150"/>
          <w:szCs w:val="150"/>
          <w:lang w:val="en-US"/>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103505</wp:posOffset>
                </wp:positionV>
                <wp:extent cx="5760085" cy="0"/>
                <wp:effectExtent l="0" t="10795" r="5715" b="1460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2225" cmpd="sng">
                          <a:solidFill>
                            <a:srgbClr val="FF0000"/>
                          </a:solidFill>
                          <a:round/>
                        </a:ln>
                        <a:effectLst/>
                      </wps:spPr>
                      <wps:bodyPr/>
                    </wps:wsp>
                  </a:graphicData>
                </a:graphic>
              </wp:anchor>
            </w:drawing>
          </mc:Choice>
          <mc:Fallback>
            <w:pict>
              <v:line id="_x0000_s1026" o:spid="_x0000_s1026" o:spt="20" style="position:absolute;left:0pt;margin-left:-20.5pt;margin-top:8.15pt;height:0pt;width:453.55pt;z-index:251660288;mso-width-relative:page;mso-height-relative:page;" filled="f" stroked="t" coordsize="21600,21600" o:gfxdata="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vzlatcAAAAJAQAADwAAAAAAAAABACAAAAAiAAAAZHJzL2Rvd25yZXYueG1sUEsBAhQAFAAA&#10;AAgAh07iQHbPCdvwAQAAxAMAAA4AAAAAAAAAAQAgAAAAJgEAAGRycy9lMm9Eb2MueG1sUEsFBgAA&#10;AAAGAAYAWQEAAIgFAAAAAA==&#10;">
                <v:fill on="f" focussize="0,0"/>
                <v:stroke weight="1.75pt" color="#FF0000" joinstyle="round"/>
                <v:imagedata o:title=""/>
                <o:lock v:ext="edit" aspectratio="f"/>
              </v:line>
            </w:pict>
          </mc:Fallback>
        </mc:AlternateContent>
      </w:r>
      <w:r>
        <w:rPr>
          <w:rFonts w:hint="eastAsia" w:ascii="方正小标宋简体" w:hAnsi="宋体" w:eastAsia="方正小标宋简体" w:cs="宋体"/>
          <w:sz w:val="44"/>
          <w:szCs w:val="44"/>
          <w:lang w:val="en-US" w:eastAsia="zh-CN"/>
        </w:rPr>
        <w:t>吉安师范学校2022年中等职业教育</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 xml:space="preserve">质量年度报告     </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color w:val="auto"/>
          <w:kern w:val="2"/>
          <w:sz w:val="36"/>
          <w:szCs w:val="36"/>
          <w:lang w:val="en-US" w:eastAsia="zh-CN" w:bidi="ar-SA"/>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color w:val="auto"/>
          <w:kern w:val="2"/>
          <w:sz w:val="36"/>
          <w:szCs w:val="36"/>
          <w:lang w:val="en-US" w:eastAsia="zh-CN" w:bidi="ar-SA"/>
        </w:rPr>
      </w:pPr>
      <w:bookmarkStart w:id="0" w:name="_GoBack"/>
      <w:bookmarkEnd w:id="0"/>
      <w:r>
        <w:rPr>
          <w:rFonts w:hint="eastAsia" w:ascii="仿宋_GB2312" w:hAnsi="仿宋" w:eastAsia="仿宋_GB2312" w:cs="仿宋"/>
          <w:b/>
          <w:bCs w:val="0"/>
          <w:color w:val="auto"/>
          <w:kern w:val="2"/>
          <w:sz w:val="36"/>
          <w:szCs w:val="36"/>
          <w:lang w:val="en-US" w:eastAsia="zh-CN" w:bidi="ar-SA"/>
        </w:rPr>
        <w:t>1.学校情况</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kern w:val="2"/>
          <w:sz w:val="32"/>
          <w:szCs w:val="32"/>
          <w:lang w:val="en-US" w:eastAsia="zh-CN" w:bidi="ar-SA"/>
        </w:rPr>
      </w:pPr>
      <w:r>
        <w:rPr>
          <w:rFonts w:hint="eastAsia" w:ascii="仿宋_GB2312" w:hAnsi="仿宋" w:eastAsia="仿宋_GB2312" w:cs="仿宋"/>
          <w:b w:val="0"/>
          <w:bCs/>
          <w:kern w:val="2"/>
          <w:sz w:val="32"/>
          <w:szCs w:val="32"/>
          <w:lang w:val="en-US" w:eastAsia="zh-CN" w:bidi="ar-SA"/>
        </w:rPr>
        <w:t>1.1学校概况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kern w:val="2"/>
          <w:sz w:val="32"/>
          <w:szCs w:val="32"/>
          <w:u w:val="none"/>
          <w:lang w:val="en-US" w:eastAsia="zh-CN" w:bidi="ar-SA"/>
        </w:rPr>
      </w:pPr>
      <w:r>
        <w:rPr>
          <w:rFonts w:hint="eastAsia" w:ascii="仿宋_GB2312" w:hAnsi="仿宋" w:eastAsia="仿宋_GB2312" w:cs="仿宋"/>
          <w:bCs/>
          <w:sz w:val="32"/>
          <w:szCs w:val="32"/>
        </w:rPr>
        <w:t>吉安师范学校</w:t>
      </w:r>
      <w:r>
        <w:rPr>
          <w:rFonts w:hint="eastAsia" w:ascii="仿宋_GB2312" w:hAnsi="仿宋" w:eastAsia="仿宋_GB2312" w:cs="仿宋"/>
          <w:bCs/>
          <w:sz w:val="32"/>
          <w:szCs w:val="32"/>
          <w:lang w:val="en-US" w:eastAsia="zh-CN"/>
        </w:rPr>
        <w:t>创办于1917年，</w:t>
      </w:r>
      <w:r>
        <w:rPr>
          <w:rFonts w:hint="eastAsia" w:ascii="仿宋_GB2312" w:hAnsi="仿宋" w:eastAsia="仿宋_GB2312" w:cs="仿宋"/>
          <w:bCs/>
          <w:sz w:val="32"/>
          <w:szCs w:val="32"/>
        </w:rPr>
        <w:t>培养初中起点五年制大专学历和三年制中专学历的小学（幼儿园）师资。</w:t>
      </w:r>
      <w:r>
        <w:rPr>
          <w:rFonts w:hint="eastAsia" w:ascii="仿宋_GB2312" w:hAnsi="仿宋" w:eastAsia="仿宋_GB2312" w:cs="仿宋"/>
          <w:bCs/>
          <w:sz w:val="32"/>
          <w:szCs w:val="32"/>
          <w:lang w:eastAsia="zh-CN"/>
        </w:rPr>
        <w:t>学校地处吉安职院新校区内，</w:t>
      </w:r>
      <w:r>
        <w:rPr>
          <w:rFonts w:hint="eastAsia" w:ascii="仿宋_GB2312" w:hAnsi="仿宋" w:eastAsia="仿宋_GB2312" w:cs="仿宋"/>
          <w:bCs/>
          <w:sz w:val="32"/>
          <w:szCs w:val="32"/>
          <w:lang w:val="en-US" w:eastAsia="zh-CN"/>
        </w:rPr>
        <w:t>有师范楼、艺术楼两大楼群，内设多媒体教室、学术报告厅、语音室、实验室、计算机房、舞蹈房、钢琴房等现代化教学场所。目前学校开设幼儿保育专业，</w:t>
      </w:r>
      <w:r>
        <w:rPr>
          <w:rFonts w:hint="eastAsia" w:ascii="仿宋_GB2312" w:hAnsi="仿宋" w:eastAsia="仿宋_GB2312" w:cs="仿宋"/>
          <w:bCs/>
          <w:sz w:val="32"/>
          <w:szCs w:val="32"/>
          <w:u w:val="none"/>
          <w:lang w:val="en-US" w:eastAsia="zh-CN"/>
        </w:rPr>
        <w:t>有在校生2338人</w:t>
      </w:r>
      <w:r>
        <w:rPr>
          <w:rFonts w:hint="eastAsia" w:ascii="仿宋_GB2312" w:hAnsi="仿宋" w:eastAsia="仿宋_GB2312" w:cs="仿宋"/>
          <w:bCs/>
          <w:kern w:val="2"/>
          <w:sz w:val="32"/>
          <w:szCs w:val="32"/>
          <w:u w:val="none"/>
          <w:lang w:val="en-US" w:eastAsia="zh-CN" w:bidi="ar-SA"/>
        </w:rPr>
        <w:t>（其中五年一贯制一、二年级学生</w:t>
      </w:r>
      <w:r>
        <w:rPr>
          <w:rFonts w:hint="eastAsia" w:ascii="仿宋_GB2312" w:hAnsi="仿宋" w:eastAsia="仿宋_GB2312" w:cs="仿宋"/>
          <w:bCs/>
          <w:color w:val="000000" w:themeColor="text1"/>
          <w:kern w:val="2"/>
          <w:sz w:val="32"/>
          <w:szCs w:val="32"/>
          <w:u w:val="none"/>
          <w:lang w:val="en-US" w:eastAsia="zh-CN" w:bidi="ar-SA"/>
          <w14:textFill>
            <w14:solidFill>
              <w14:schemeClr w14:val="tx1"/>
            </w14:solidFill>
          </w14:textFill>
        </w:rPr>
        <w:t>1647</w:t>
      </w:r>
      <w:r>
        <w:rPr>
          <w:rFonts w:hint="eastAsia" w:ascii="仿宋_GB2312" w:hAnsi="仿宋" w:eastAsia="仿宋_GB2312" w:cs="仿宋"/>
          <w:bCs/>
          <w:kern w:val="2"/>
          <w:sz w:val="32"/>
          <w:szCs w:val="32"/>
          <w:u w:val="none"/>
          <w:lang w:val="en-US" w:eastAsia="zh-CN" w:bidi="ar-SA"/>
        </w:rPr>
        <w:t>人，三年制中专691人）。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b w:val="0"/>
          <w:bCs/>
          <w:color w:val="000000" w:themeColor="text1"/>
          <w:kern w:val="2"/>
          <w:sz w:val="32"/>
          <w:szCs w:val="32"/>
          <w:lang w:val="en-US" w:eastAsia="zh-CN" w:bidi="ar-SA"/>
          <w14:textFill>
            <w14:solidFill>
              <w14:schemeClr w14:val="tx1"/>
            </w14:solidFill>
          </w14:textFill>
        </w:rPr>
        <w:t>1.2教师队伍</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学校有教职工122人，专任教师总数105人，其中思政课专任教师5人，德育管理人员40人，体育专任教师5人，美育课专任教师8人，双师型教师38人，生师比为19比1，专任教师本科以上学历比例为100%，专任教师硕士以上学历比例为34%，专任教师高级职称教师比例为45%。</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color w:val="auto"/>
          <w:kern w:val="2"/>
          <w:sz w:val="36"/>
          <w:szCs w:val="36"/>
          <w:lang w:val="en-US" w:eastAsia="zh-CN" w:bidi="ar-SA"/>
        </w:rPr>
      </w:pPr>
      <w:r>
        <w:rPr>
          <w:rFonts w:hint="eastAsia" w:ascii="仿宋_GB2312" w:hAnsi="仿宋" w:eastAsia="仿宋_GB2312" w:cs="仿宋"/>
          <w:b/>
          <w:bCs w:val="0"/>
          <w:color w:val="auto"/>
          <w:kern w:val="2"/>
          <w:sz w:val="36"/>
          <w:szCs w:val="36"/>
          <w:lang w:val="en-US" w:eastAsia="zh-CN" w:bidi="ar-SA"/>
        </w:rPr>
        <w:t>2.学生发展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2.1学生素质</w:t>
      </w:r>
    </w:p>
    <w:p>
      <w:pPr>
        <w:keepNext w:val="0"/>
        <w:keepLines w:val="0"/>
        <w:pageBreakBefore w:val="0"/>
        <w:kinsoku/>
        <w:wordWrap/>
        <w:overflowPunct/>
        <w:topLinePunct w:val="0"/>
        <w:autoSpaceDE/>
        <w:autoSpaceDN/>
        <w:bidi w:val="0"/>
        <w:adjustRightInd/>
        <w:snapToGrid/>
        <w:spacing w:line="240" w:lineRule="auto"/>
        <w:ind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学生德育工作情况良好，学生思想政治状况良好，文化基础课合格率98%，体质测评合格率100%。</w:t>
      </w:r>
      <w:r>
        <w:rPr>
          <w:rFonts w:hint="eastAsia" w:ascii="仿宋_GB2312" w:hAnsi="仿宋" w:eastAsia="仿宋_GB2312" w:cs="仿宋"/>
          <w:bCs/>
          <w:color w:val="auto"/>
          <w:sz w:val="32"/>
          <w:szCs w:val="32"/>
          <w:lang w:val="en-US" w:eastAsia="zh-CN"/>
        </w:rPr>
        <w:t>我校学生代表队</w:t>
      </w:r>
      <w:r>
        <w:rPr>
          <w:rFonts w:hint="eastAsia" w:ascii="仿宋_GB2312" w:hAnsi="仿宋" w:eastAsia="仿宋_GB2312" w:cs="仿宋"/>
          <w:bCs/>
          <w:color w:val="auto"/>
          <w:kern w:val="2"/>
          <w:sz w:val="32"/>
          <w:szCs w:val="32"/>
          <w:lang w:val="en-US" w:eastAsia="zh-CN" w:bidi="ar-SA"/>
        </w:rPr>
        <w:t>参加了吉安市第十八届中等职业学校技能学前教育赛项和影视后期制作的比赛。幼儿保育技能（团体赛）获得一等奖2个，二等奖2个；影视后期制作获得一等奖1个，二等奖2个，三等奖2个。</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2.2就业质量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2021年毕业人数233人，就业（含升学）人数233人，通过中高贯通升学人数232人，毕业生专业对口就业率99.5%。培养进入社会的毕业生，因文化基础知识全面，教学基本功扎实，组织活动能力强，专业思想巩固而受到用人单位的好评。</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default" w:ascii="仿宋_GB2312" w:hAnsi="仿宋" w:eastAsia="仿宋_GB2312" w:cs="仿宋"/>
          <w:b/>
          <w:bCs w:val="0"/>
          <w:kern w:val="2"/>
          <w:sz w:val="36"/>
          <w:szCs w:val="36"/>
          <w:lang w:val="en-US" w:eastAsia="zh-CN" w:bidi="ar-SA"/>
        </w:rPr>
      </w:pPr>
      <w:r>
        <w:rPr>
          <w:rFonts w:hint="eastAsia" w:ascii="仿宋_GB2312" w:hAnsi="仿宋" w:eastAsia="仿宋_GB2312" w:cs="仿宋"/>
          <w:b/>
          <w:bCs w:val="0"/>
          <w:kern w:val="2"/>
          <w:sz w:val="36"/>
          <w:szCs w:val="36"/>
          <w:lang w:val="en-US" w:eastAsia="zh-CN" w:bidi="ar-SA"/>
        </w:rPr>
        <w:t>3.质量保障措施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3.1专业动态调整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目前学校设有幼儿保育专业，制定了《2021级幼儿保育专业人才培养方案》。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3.2教育教学改革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一是树立“以学生为主体，教师为主导”的现代教育理念，运用体验式学习、合作探究学习、翻转课堂学习等多元学习方式，引导学生主动学习，使课堂教学效率最优化。二是实施“课程体系、教学方式、学业评价、实践教学”的课堂教学改革。三是完成了校级10个合格课程的中期检查工作，完成了中等职业学校在线精品课程申报工作，我校《幼儿教育学》、《英语》两门课程已立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3.3教师培养培训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kern w:val="2"/>
          <w:sz w:val="32"/>
          <w:szCs w:val="32"/>
          <w:lang w:val="en-US" w:eastAsia="zh-CN" w:bidi="ar-SA"/>
        </w:rPr>
        <w:t>开展了多次“公开课”和“汇报课”活动，组织教师参加江西省中小学教师资格面试省级考官培训、吉安市幼儿教育协会第三届学前教育年会、教学能力比赛提升培训等培训人数达46人，其中线上培训20人，线下培训26人。组织教师参加技能竞赛，提升教师的教学水平，</w:t>
      </w:r>
      <w:r>
        <w:rPr>
          <w:rFonts w:hint="eastAsia" w:ascii="仿宋_GB2312" w:hAnsi="仿宋" w:eastAsia="仿宋_GB2312" w:cs="仿宋"/>
          <w:bCs/>
          <w:color w:val="auto"/>
          <w:sz w:val="32"/>
          <w:szCs w:val="32"/>
          <w:lang w:eastAsia="zh-CN"/>
        </w:rPr>
        <w:t>在</w:t>
      </w:r>
      <w:r>
        <w:rPr>
          <w:rFonts w:hint="eastAsia" w:ascii="仿宋_GB2312" w:hAnsi="仿宋" w:eastAsia="仿宋_GB2312" w:cs="仿宋"/>
          <w:bCs/>
          <w:color w:val="auto"/>
          <w:sz w:val="32"/>
          <w:szCs w:val="32"/>
          <w:lang w:val="en-US" w:eastAsia="zh-CN"/>
        </w:rPr>
        <w:t>2021</w:t>
      </w:r>
      <w:r>
        <w:rPr>
          <w:rFonts w:hint="eastAsia" w:ascii="仿宋_GB2312" w:hAnsi="仿宋" w:eastAsia="仿宋_GB2312" w:cs="仿宋"/>
          <w:bCs/>
          <w:color w:val="auto"/>
          <w:sz w:val="32"/>
          <w:szCs w:val="32"/>
          <w:lang w:eastAsia="zh-CN"/>
        </w:rPr>
        <w:t>年的</w:t>
      </w:r>
      <w:r>
        <w:rPr>
          <w:rFonts w:hint="eastAsia" w:ascii="仿宋_GB2312" w:hAnsi="仿宋" w:eastAsia="仿宋_GB2312" w:cs="仿宋"/>
          <w:bCs/>
          <w:color w:val="auto"/>
          <w:sz w:val="32"/>
          <w:szCs w:val="32"/>
          <w:lang w:val="en-US" w:eastAsia="zh-CN"/>
        </w:rPr>
        <w:t>江西省职业院校技能大赛教学能力比赛</w:t>
      </w:r>
      <w:r>
        <w:rPr>
          <w:rFonts w:hint="eastAsia" w:ascii="仿宋_GB2312" w:hAnsi="仿宋" w:eastAsia="仿宋_GB2312" w:cs="仿宋"/>
          <w:bCs/>
          <w:color w:val="auto"/>
          <w:sz w:val="32"/>
          <w:szCs w:val="32"/>
          <w:lang w:eastAsia="zh-CN"/>
        </w:rPr>
        <w:t>中，我校英语组获得省一等奖，语文组获得</w:t>
      </w:r>
      <w:r>
        <w:rPr>
          <w:rFonts w:hint="eastAsia" w:ascii="仿宋_GB2312" w:hAnsi="仿宋" w:eastAsia="仿宋_GB2312" w:cs="仿宋"/>
          <w:bCs/>
          <w:color w:val="auto"/>
          <w:sz w:val="32"/>
          <w:szCs w:val="32"/>
          <w:lang w:val="en-US" w:eastAsia="zh-CN"/>
        </w:rPr>
        <w:t>省二等奖。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3.4规范管理情况</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 w:eastAsia="仿宋_GB2312" w:cs="仿宋"/>
          <w:b w:val="0"/>
          <w:bCs/>
          <w:color w:val="auto"/>
          <w:sz w:val="32"/>
          <w:szCs w:val="32"/>
          <w:lang w:val="en-US" w:eastAsia="zh-CN"/>
        </w:rPr>
      </w:pPr>
      <w:r>
        <w:rPr>
          <w:rFonts w:hint="eastAsia" w:ascii="仿宋_GB2312" w:hAnsi="仿宋" w:eastAsia="仿宋_GB2312" w:cs="仿宋"/>
          <w:b/>
          <w:bCs w:val="0"/>
          <w:color w:val="auto"/>
          <w:sz w:val="32"/>
          <w:szCs w:val="32"/>
          <w:lang w:val="en-US" w:eastAsia="zh-CN"/>
        </w:rPr>
        <w:t>常规管理工作。</w:t>
      </w:r>
      <w:r>
        <w:rPr>
          <w:rFonts w:hint="eastAsia" w:ascii="仿宋_GB2312" w:hAnsi="仿宋" w:eastAsia="仿宋_GB2312" w:cs="仿宋"/>
          <w:b w:val="0"/>
          <w:bCs/>
          <w:color w:val="auto"/>
          <w:sz w:val="32"/>
          <w:szCs w:val="32"/>
          <w:lang w:val="en-US" w:eastAsia="zh-CN"/>
        </w:rPr>
        <w:t>学校高度重视常规工作，制定</w:t>
      </w:r>
      <w:r>
        <w:rPr>
          <w:rFonts w:hint="eastAsia" w:ascii="仿宋_GB2312" w:hAnsi="仿宋" w:eastAsia="仿宋_GB2312" w:cs="仿宋"/>
          <w:bCs/>
          <w:color w:val="auto"/>
          <w:kern w:val="2"/>
          <w:sz w:val="32"/>
          <w:szCs w:val="32"/>
          <w:lang w:val="en-US" w:eastAsia="zh-CN" w:bidi="ar-SA"/>
        </w:rPr>
        <w:t>了《吉安师范学校结业生换发毕业证书的管理办法》、《吉安师范学校教材使用与管理制度》、《吉安师范学校创建“红色校园 书香校园 文明校园”工作实施方案（试行）》、</w:t>
      </w:r>
      <w:r>
        <w:rPr>
          <w:rFonts w:hint="eastAsia" w:ascii="仿宋_GB2312" w:hAnsi="仿宋" w:eastAsia="仿宋_GB2312" w:cs="仿宋"/>
          <w:b w:val="0"/>
          <w:bCs/>
          <w:color w:val="auto"/>
          <w:sz w:val="32"/>
          <w:szCs w:val="32"/>
          <w:lang w:val="en-US" w:eastAsia="zh-CN"/>
        </w:rPr>
        <w:t>《吉安师范学校学生志愿服务活动管理办法（试行）》、《吉安师范学校合格课程建设实施办法》等。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 w:eastAsia="仿宋_GB2312" w:cs="仿宋"/>
          <w:bCs/>
          <w:sz w:val="32"/>
          <w:szCs w:val="32"/>
          <w:lang w:val="en-US" w:eastAsia="zh-CN"/>
        </w:rPr>
      </w:pPr>
      <w:r>
        <w:rPr>
          <w:rFonts w:hint="eastAsia" w:ascii="仿宋_GB2312" w:hAnsi="仿宋" w:eastAsia="仿宋_GB2312" w:cs="仿宋"/>
          <w:b/>
          <w:bCs w:val="0"/>
          <w:sz w:val="32"/>
          <w:szCs w:val="32"/>
          <w:lang w:val="en-US" w:eastAsia="zh-CN"/>
        </w:rPr>
        <w:t>安全管理。</w:t>
      </w:r>
      <w:r>
        <w:rPr>
          <w:rFonts w:hint="eastAsia" w:ascii="仿宋_GB2312" w:hAnsi="仿宋" w:eastAsia="仿宋_GB2312" w:cs="仿宋"/>
          <w:bCs/>
          <w:sz w:val="32"/>
          <w:szCs w:val="32"/>
        </w:rPr>
        <w:t>着力加强学校安全风险防控体系建设，绷紧校园安全工作之弦，</w:t>
      </w:r>
      <w:r>
        <w:rPr>
          <w:rFonts w:hint="eastAsia" w:ascii="仿宋_GB2312" w:hAnsi="仿宋" w:eastAsia="仿宋_GB2312" w:cs="仿宋"/>
          <w:bCs/>
          <w:sz w:val="32"/>
          <w:szCs w:val="32"/>
          <w:lang w:val="en-US" w:eastAsia="zh-CN"/>
        </w:rPr>
        <w:t>实行24小时校园安全值班执勤，校领导带班值日值守，确保学校安全稳定。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kern w:val="2"/>
          <w:sz w:val="32"/>
          <w:szCs w:val="32"/>
          <w:lang w:val="en-US" w:eastAsia="zh-CN" w:bidi="ar-SA"/>
        </w:rPr>
      </w:pPr>
      <w:r>
        <w:rPr>
          <w:rFonts w:hint="eastAsia" w:ascii="仿宋_GB2312" w:hAnsi="仿宋" w:eastAsia="仿宋_GB2312" w:cs="仿宋"/>
          <w:b w:val="0"/>
          <w:bCs/>
          <w:kern w:val="2"/>
          <w:sz w:val="32"/>
          <w:szCs w:val="32"/>
          <w:lang w:val="en-US" w:eastAsia="zh-CN" w:bidi="ar-SA"/>
        </w:rPr>
        <w:t>3.5德育工作情况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学校秉持“厚德博学，自强创新”的校训，以丰富的井冈山红色文化资源为素材，进入课堂、融入活动、融入专业，构建师范学校“红色吉师、书香吉师、文明吉师”的育人新环境。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 w:eastAsia="仿宋_GB2312" w:cs="仿宋"/>
          <w:bCs/>
          <w:color w:val="auto"/>
          <w:sz w:val="32"/>
          <w:szCs w:val="32"/>
          <w:lang w:val="en-US"/>
        </w:rPr>
      </w:pPr>
      <w:r>
        <w:rPr>
          <w:rFonts w:hint="eastAsia" w:ascii="仿宋_GB2312" w:hAnsi="仿宋" w:eastAsia="仿宋_GB2312" w:cs="仿宋"/>
          <w:bCs/>
          <w:color w:val="auto"/>
          <w:kern w:val="2"/>
          <w:sz w:val="32"/>
          <w:szCs w:val="32"/>
          <w:lang w:val="en-US" w:eastAsia="zh-CN" w:bidi="ar-SA"/>
        </w:rPr>
        <w:t xml:space="preserve">以“庆祝中国共产党成立100周年”、“学雷锋”活动、“清明节”、纪念“五四”运动等为契机，结合实际开展党史宣讲、团日活动、志愿服务、文艺汇演、十八岁成人礼等多种形式的主题活动，开展校内外各类志愿者活动30余次，长期支教乡村小学两所，着力深入推进“青年大学习”行动，我校每期学习率均达到100%。以丰富学生业余生活为目的，营造良好校园文化氛围，共开展征文、合唱、器乐、书画、棋艺、舞蹈、民族文化、辩论等各类校园活动10余场，各类社团教学实践活动40余场，形成了我校课堂教育与社团教育两翼齐飞的大好局面。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 w:eastAsia="仿宋_GB2312" w:cs="仿宋"/>
          <w:bCs/>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 xml:space="preserve">加强学生心理健康教育。要求班主任时刻关注同学心理健康问题，各班由心理咨询委员和保卫委员专人负责进行心理健康排查和辅导，做好学生心理疏导工作，上报学生心理健康状况，并聘请心理咨询师和职业指导师做讲座。  </w:t>
      </w:r>
      <w:r>
        <w:rPr>
          <w:rFonts w:hint="eastAsia" w:ascii="仿宋_GB2312" w:hAnsi="仿宋" w:eastAsia="仿宋_GB2312" w:cs="仿宋"/>
          <w:bCs/>
          <w:kern w:val="2"/>
          <w:sz w:val="32"/>
          <w:szCs w:val="32"/>
          <w:lang w:val="en-US" w:eastAsia="zh-CN" w:bidi="ar-SA"/>
        </w:rPr>
        <w:t xml:space="preserve">                                                                                                                                                                                                                                                               </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color w:val="auto"/>
          <w:kern w:val="2"/>
          <w:sz w:val="36"/>
          <w:szCs w:val="36"/>
          <w:lang w:val="en-US" w:eastAsia="zh-CN" w:bidi="ar-SA"/>
        </w:rPr>
      </w:pPr>
      <w:r>
        <w:rPr>
          <w:rFonts w:hint="eastAsia" w:ascii="仿宋_GB2312" w:hAnsi="仿宋" w:eastAsia="仿宋_GB2312" w:cs="仿宋"/>
          <w:b/>
          <w:bCs w:val="0"/>
          <w:color w:val="auto"/>
          <w:kern w:val="2"/>
          <w:sz w:val="36"/>
          <w:szCs w:val="36"/>
          <w:lang w:val="en-US" w:eastAsia="zh-CN" w:bidi="ar-SA"/>
        </w:rPr>
        <w:t>4.校企合作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4.1校企合作开展情况和效果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b w:val="0"/>
          <w:bCs/>
          <w:color w:val="000000" w:themeColor="text1"/>
          <w:kern w:val="2"/>
          <w:sz w:val="32"/>
          <w:szCs w:val="32"/>
          <w:lang w:val="en-US" w:eastAsia="zh-CN" w:bidi="ar-SA"/>
          <w14:textFill>
            <w14:solidFill>
              <w14:schemeClr w14:val="tx1"/>
            </w14:solidFill>
          </w14:textFill>
        </w:rPr>
        <w:t>见习、实习建立长效机制。</w:t>
      </w:r>
      <w:r>
        <w:rPr>
          <w:rFonts w:hint="eastAsia" w:ascii="仿宋_GB2312" w:hAnsi="仿宋" w:eastAsia="仿宋_GB2312" w:cs="仿宋"/>
          <w:bCs/>
          <w:color w:val="000000" w:themeColor="text1"/>
          <w:kern w:val="2"/>
          <w:sz w:val="32"/>
          <w:szCs w:val="32"/>
          <w:lang w:val="en-US" w:eastAsia="zh-CN" w:bidi="ar-SA"/>
          <w14:textFill>
            <w14:solidFill>
              <w14:schemeClr w14:val="tx1"/>
            </w14:solidFill>
          </w14:textFill>
        </w:rPr>
        <w:t>充分考虑理论教学和实践教学的比例调整，加大实践教学改革力度，实践教学增加到50%以上。目前已在全市建立了20多所小学、幼儿园校外实践基地，承担吉安师范学校学生校外见习、实习、异地课程教学等任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4.2学生实习情况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 w:eastAsia="仿宋_GB2312" w:cs="仿宋"/>
          <w:bCs/>
          <w:kern w:val="2"/>
          <w:sz w:val="32"/>
          <w:szCs w:val="32"/>
          <w:lang w:val="en-US" w:eastAsia="zh-CN" w:bidi="ar-SA"/>
        </w:rPr>
      </w:pPr>
      <w:r>
        <w:rPr>
          <w:rFonts w:hint="eastAsia" w:ascii="仿宋_GB2312" w:eastAsia="仿宋_GB2312"/>
          <w:sz w:val="32"/>
          <w:szCs w:val="32"/>
          <w:lang w:val="en-US" w:eastAsia="zh-CN"/>
        </w:rPr>
        <w:t>我校历来都非常重视学生的教育实习工作，并严格按照教育部有关文件认真执行，</w:t>
      </w:r>
      <w:r>
        <w:rPr>
          <w:rFonts w:hint="eastAsia" w:ascii="仿宋_GB2312" w:hAnsi="仿宋" w:eastAsia="仿宋_GB2312" w:cs="仿宋"/>
          <w:bCs/>
          <w:kern w:val="2"/>
          <w:sz w:val="32"/>
          <w:szCs w:val="32"/>
          <w:lang w:val="en-US" w:eastAsia="zh-CN" w:bidi="ar-SA"/>
        </w:rPr>
        <w:t>教学周总体安排：第1学期16周、第2-5学期18周（包括常规教学和集中实践），第6学期毕业顶岗实习18周。</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default" w:ascii="仿宋_GB2312" w:hAnsi="仿宋" w:eastAsia="仿宋_GB2312" w:cs="仿宋"/>
          <w:b/>
          <w:bCs w:val="0"/>
          <w:color w:val="auto"/>
          <w:kern w:val="2"/>
          <w:sz w:val="36"/>
          <w:szCs w:val="36"/>
          <w:lang w:val="en-US" w:eastAsia="zh-CN" w:bidi="ar-SA"/>
        </w:rPr>
      </w:pPr>
      <w:r>
        <w:rPr>
          <w:rFonts w:hint="eastAsia" w:ascii="仿宋_GB2312" w:hAnsi="仿宋" w:eastAsia="仿宋_GB2312" w:cs="仿宋"/>
          <w:b/>
          <w:bCs w:val="0"/>
          <w:color w:val="auto"/>
          <w:kern w:val="2"/>
          <w:sz w:val="36"/>
          <w:szCs w:val="36"/>
          <w:lang w:val="en-US" w:eastAsia="zh-CN" w:bidi="ar-SA"/>
        </w:rPr>
        <w:t>5.服务贡献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color w:val="auto"/>
          <w:kern w:val="2"/>
          <w:sz w:val="32"/>
          <w:szCs w:val="32"/>
          <w:lang w:val="en-US" w:eastAsia="zh-CN" w:bidi="ar-SA"/>
        </w:rPr>
      </w:pPr>
      <w:r>
        <w:rPr>
          <w:rFonts w:hint="eastAsia" w:ascii="仿宋_GB2312" w:hAnsi="仿宋" w:eastAsia="仿宋_GB2312" w:cs="仿宋"/>
          <w:b w:val="0"/>
          <w:bCs/>
          <w:color w:val="auto"/>
          <w:kern w:val="2"/>
          <w:sz w:val="32"/>
          <w:szCs w:val="32"/>
          <w:lang w:val="en-US" w:eastAsia="zh-CN" w:bidi="ar-SA"/>
        </w:rPr>
        <w:t>5.1技术技能人才培养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近百年来，学校共为社会培养50000余名合格的师资和其他专业人才，深受当地政府、用人单位和社会的普遍赞誉。特别是近年来，学校始终坚持“以质量立校，以特色强校，以科研兴校，以和谐荣校”的办学理念，围绕“以求实创新的科学精神培养一流的小学（幼儿园）教师”的办学目标，先后获得省文明单位、省军民共建精神文明先进单位、省园林绿化达标单位、省青年志愿者服务先进集体、省共青团工作先进单位等荣誉称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5.2服务抗疫</w:t>
      </w:r>
    </w:p>
    <w:p>
      <w:pPr>
        <w:pStyle w:val="2"/>
        <w:keepNext w:val="0"/>
        <w:keepLines w:val="0"/>
        <w:pageBreakBefore w:val="0"/>
        <w:kinsoku/>
        <w:wordWrap/>
        <w:overflowPunct/>
        <w:topLinePunct w:val="0"/>
        <w:autoSpaceDE/>
        <w:autoSpaceDN/>
        <w:bidi w:val="0"/>
        <w:adjustRightInd/>
        <w:snapToGrid/>
        <w:spacing w:before="0" w:beforeAutospacing="0" w:after="0" w:line="240" w:lineRule="auto"/>
        <w:ind w:firstLine="640" w:firstLineChars="200"/>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为应对新型冠状病毒疫情，我校及时成立了疫情防控工作领导小组，出台了《吉安师范学校新型冠状病毒疫情防控工作实施方案》、《吉安师范新型冠状病毒感染的肺炎疫情防控及开学工作方案》等文件，并积极做好相关疫情防控工作。</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kern w:val="2"/>
          <w:sz w:val="36"/>
          <w:szCs w:val="36"/>
          <w:lang w:val="en-US" w:eastAsia="zh-CN" w:bidi="ar-SA"/>
        </w:rPr>
      </w:pPr>
      <w:r>
        <w:rPr>
          <w:rFonts w:hint="eastAsia" w:ascii="仿宋_GB2312" w:hAnsi="仿宋" w:eastAsia="仿宋_GB2312" w:cs="仿宋"/>
          <w:b/>
          <w:bCs w:val="0"/>
          <w:kern w:val="2"/>
          <w:sz w:val="36"/>
          <w:szCs w:val="36"/>
          <w:lang w:val="en-US" w:eastAsia="zh-CN" w:bidi="ar-SA"/>
        </w:rPr>
        <w:t>6.政策保障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1经费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市财政对我校政策性经费、生均拨款、项目投入等资金均能按时、按量拨付到位。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2政策措施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近年来，各级政府制定有《新时代教师队伍建设改革意见》、《关于深化农村教育和职业教育改革发展的意见》、《吉安市依法治教实施规划（2016-2020年）》等许多文件大力推进我市职业教育大发展。</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kern w:val="2"/>
          <w:sz w:val="36"/>
          <w:szCs w:val="36"/>
          <w:lang w:val="en-US" w:eastAsia="zh-CN" w:bidi="ar-SA"/>
        </w:rPr>
      </w:pPr>
      <w:r>
        <w:rPr>
          <w:rFonts w:hint="eastAsia" w:ascii="仿宋_GB2312" w:hAnsi="仿宋" w:eastAsia="仿宋_GB2312" w:cs="仿宋"/>
          <w:b/>
          <w:bCs w:val="0"/>
          <w:kern w:val="2"/>
          <w:sz w:val="36"/>
          <w:szCs w:val="36"/>
          <w:lang w:val="en-US" w:eastAsia="zh-CN" w:bidi="ar-SA"/>
        </w:rPr>
        <w:t>7.面临挑战</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 w:val="0"/>
          <w:bCs/>
          <w:kern w:val="2"/>
          <w:sz w:val="32"/>
          <w:szCs w:val="32"/>
          <w:lang w:val="en-US" w:eastAsia="zh-CN" w:bidi="ar-SA"/>
        </w:rPr>
      </w:pPr>
      <w:r>
        <w:rPr>
          <w:rFonts w:hint="eastAsia" w:ascii="仿宋_GB2312" w:hAnsi="仿宋" w:eastAsia="仿宋_GB2312" w:cs="仿宋"/>
          <w:b w:val="0"/>
          <w:bCs/>
          <w:kern w:val="2"/>
          <w:sz w:val="32"/>
          <w:szCs w:val="32"/>
          <w:lang w:val="en-US" w:eastAsia="zh-CN" w:bidi="ar-SA"/>
        </w:rPr>
        <w:t>由于我校正处于向吉安幼儿高等师范专科学校转型的过渡时期，对于高等教育学生发展、教育理念、教学方法、行政管理等方面都提出了更高的要求，学校教学、管理等各方面亟待提升。</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723" w:firstLineChars="200"/>
        <w:jc w:val="both"/>
        <w:textAlignment w:val="auto"/>
        <w:rPr>
          <w:rFonts w:hint="eastAsia" w:ascii="仿宋_GB2312" w:hAnsi="仿宋" w:eastAsia="仿宋_GB2312" w:cs="仿宋"/>
          <w:b/>
          <w:bCs w:val="0"/>
          <w:kern w:val="2"/>
          <w:sz w:val="36"/>
          <w:szCs w:val="36"/>
          <w:lang w:val="en-US" w:eastAsia="zh-CN" w:bidi="ar-SA"/>
        </w:rPr>
      </w:pPr>
      <w:r>
        <w:rPr>
          <w:rFonts w:hint="eastAsia" w:ascii="仿宋_GB2312" w:hAnsi="仿宋" w:eastAsia="仿宋_GB2312" w:cs="仿宋"/>
          <w:b/>
          <w:bCs w:val="0"/>
          <w:kern w:val="2"/>
          <w:sz w:val="36"/>
          <w:szCs w:val="36"/>
          <w:lang w:val="en-US" w:eastAsia="zh-CN" w:bidi="ar-SA"/>
        </w:rPr>
        <w:t>8.典型案例：全力打造“红色吉师、书香吉师、文明吉师”，构建师范育人新环境。</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8.1指导思想</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Cs/>
          <w:color w:val="auto"/>
          <w:kern w:val="2"/>
          <w:sz w:val="32"/>
          <w:szCs w:val="32"/>
          <w:lang w:val="en-US" w:eastAsia="zh-CN" w:bidi="ar-SA"/>
        </w:rPr>
      </w:pPr>
      <w:r>
        <w:rPr>
          <w:rFonts w:hint="eastAsia" w:ascii="仿宋_GB2312" w:hAnsi="仿宋" w:eastAsia="仿宋_GB2312" w:cs="仿宋"/>
          <w:bCs/>
          <w:color w:val="auto"/>
          <w:kern w:val="2"/>
          <w:sz w:val="32"/>
          <w:szCs w:val="32"/>
          <w:lang w:val="en-US" w:eastAsia="zh-CN" w:bidi="ar-SA"/>
        </w:rPr>
        <w:t>吉安师范学校以“打造三个校园，创建教育特色”为目标，进一步挖掘红色文化资源，吸取红色文化的宝贵精神财富，在弘扬井冈山革命精神的同时，引导学生成为爱党爱国有理想有担当的高素质师范生，努力探索出一条利用红色资源创新德育工作的路子,营造浓郁的校园阅读氛围，培养学生爱读书、会读书、读好书的阅读习惯，全面提升学生综合素质。</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8.2实践措施及效果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8.2.1</w:t>
      </w:r>
      <w:r>
        <w:rPr>
          <w:rFonts w:hint="eastAsia" w:ascii="仿宋" w:hAnsi="仿宋" w:eastAsia="仿宋" w:cs="仿宋"/>
          <w:b w:val="0"/>
          <w:bCs w:val="0"/>
          <w:sz w:val="32"/>
          <w:szCs w:val="32"/>
          <w:lang w:eastAsia="zh-CN"/>
        </w:rPr>
        <w:t>加强思想道德教育</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建设校园红色文化环境</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eastAsia="仿宋_GB2312" w:cs="Times New Roman"/>
          <w:b w:val="0"/>
          <w:bCs w:val="0"/>
          <w:color w:val="auto"/>
          <w:kern w:val="2"/>
          <w:sz w:val="32"/>
          <w:szCs w:val="32"/>
          <w:lang w:val="en-US" w:eastAsia="zh-CN" w:bidi="ar-SA"/>
        </w:rPr>
      </w:pPr>
      <w:r>
        <w:rPr>
          <w:rFonts w:hint="eastAsia" w:ascii="仿宋" w:hAnsi="仿宋" w:eastAsia="仿宋" w:cs="仿宋"/>
          <w:b/>
          <w:bCs/>
          <w:sz w:val="32"/>
          <w:szCs w:val="32"/>
        </w:rPr>
        <w:t xml:space="preserve"> </w:t>
      </w:r>
      <w:r>
        <w:rPr>
          <w:rFonts w:hint="eastAsia" w:ascii="仿宋_GB2312" w:eastAsia="仿宋_GB2312" w:cs="Times New Roman"/>
          <w:b w:val="0"/>
          <w:bCs w:val="0"/>
          <w:color w:val="auto"/>
          <w:kern w:val="2"/>
          <w:sz w:val="32"/>
          <w:szCs w:val="32"/>
          <w:lang w:val="en-US" w:eastAsia="zh-CN" w:bidi="ar-SA"/>
        </w:rPr>
        <w:t>为全面贯彻习近平新时代中国特色社会主义精神，党的十九大精神，以“庆祝中国共产党成立100周年”、“学雷锋”活动、“清明节”、纪念“五四”运动等为契机，</w:t>
      </w:r>
      <w:r>
        <w:rPr>
          <w:rFonts w:hint="eastAsia" w:ascii="仿宋_GB2312" w:hAnsi="仿宋_GB2312" w:eastAsia="仿宋_GB2312" w:cs="仿宋_GB2312"/>
          <w:sz w:val="32"/>
          <w:szCs w:val="32"/>
          <w:highlight w:val="none"/>
          <w:lang w:eastAsia="zh-CN"/>
        </w:rPr>
        <w:t>积极开展一系列学习教育活动</w:t>
      </w:r>
      <w:r>
        <w:rPr>
          <w:rFonts w:hint="eastAsia" w:ascii="仿宋_GB2312" w:eastAsia="仿宋_GB2312"/>
          <w:color w:val="auto"/>
          <w:sz w:val="32"/>
          <w:szCs w:val="32"/>
          <w:highlight w:val="none"/>
          <w:lang w:val="en-US" w:eastAsia="zh-CN"/>
        </w:rPr>
        <w:t>。</w:t>
      </w:r>
      <w:r>
        <w:rPr>
          <w:rFonts w:hint="eastAsia" w:ascii="仿宋_GB2312" w:eastAsia="仿宋_GB2312" w:cs="Times New Roman"/>
          <w:b w:val="0"/>
          <w:bCs w:val="0"/>
          <w:color w:val="auto"/>
          <w:kern w:val="2"/>
          <w:sz w:val="32"/>
          <w:szCs w:val="32"/>
          <w:highlight w:val="none"/>
          <w:lang w:val="en-US" w:eastAsia="zh-CN" w:bidi="ar-SA"/>
        </w:rPr>
        <w:t>一是统一思想认识，提升学习教育高度。</w:t>
      </w:r>
      <w:r>
        <w:rPr>
          <w:rFonts w:hint="eastAsia" w:ascii="仿宋_GB2312" w:eastAsia="仿宋_GB2312" w:cs="Times New Roman"/>
          <w:b w:val="0"/>
          <w:bCs w:val="0"/>
          <w:color w:val="auto"/>
          <w:kern w:val="2"/>
          <w:sz w:val="32"/>
          <w:szCs w:val="32"/>
          <w:lang w:val="en-US" w:eastAsia="zh-CN" w:bidi="ar-SA"/>
        </w:rPr>
        <w:t>坚持读原著、学原文、悟原理，指定学习材料全部发放到位，开展专题学习；纪委书记于3月31日举办党史学习教育暨党史专题讲座，全校教职工参加学习，</w:t>
      </w:r>
      <w:r>
        <w:rPr>
          <w:rFonts w:hint="default" w:ascii="仿宋" w:hAnsi="仿宋" w:eastAsia="仿宋" w:cs="仿宋"/>
          <w:b w:val="0"/>
          <w:bCs w:val="0"/>
          <w:kern w:val="2"/>
          <w:sz w:val="32"/>
          <w:szCs w:val="40"/>
          <w:lang w:val="en-US" w:eastAsia="zh-CN" w:bidi="ar-SA"/>
        </w:rPr>
        <w:t>激励全体</w:t>
      </w:r>
      <w:r>
        <w:rPr>
          <w:rFonts w:hint="eastAsia" w:ascii="仿宋" w:hAnsi="仿宋" w:eastAsia="仿宋" w:cs="仿宋"/>
          <w:b w:val="0"/>
          <w:bCs w:val="0"/>
          <w:kern w:val="2"/>
          <w:sz w:val="32"/>
          <w:szCs w:val="40"/>
          <w:lang w:val="en-US" w:eastAsia="zh-CN" w:bidi="ar-SA"/>
        </w:rPr>
        <w:t>教师</w:t>
      </w:r>
      <w:r>
        <w:rPr>
          <w:rFonts w:hint="default" w:ascii="仿宋" w:hAnsi="仿宋" w:eastAsia="仿宋" w:cs="仿宋"/>
          <w:b w:val="0"/>
          <w:bCs w:val="0"/>
          <w:kern w:val="2"/>
          <w:sz w:val="32"/>
          <w:szCs w:val="40"/>
          <w:lang w:val="en-US" w:eastAsia="zh-CN" w:bidi="ar-SA"/>
        </w:rPr>
        <w:t>传承红色基因、牢记初心使命</w:t>
      </w:r>
      <w:r>
        <w:rPr>
          <w:rFonts w:hint="eastAsia" w:ascii="仿宋" w:hAnsi="仿宋" w:eastAsia="仿宋" w:cs="仿宋"/>
          <w:b w:val="0"/>
          <w:bCs w:val="0"/>
          <w:kern w:val="2"/>
          <w:sz w:val="32"/>
          <w:szCs w:val="40"/>
          <w:lang w:val="en-US" w:eastAsia="zh-CN" w:bidi="ar-SA"/>
        </w:rPr>
        <w:t>，</w:t>
      </w:r>
      <w:r>
        <w:rPr>
          <w:rFonts w:hint="default" w:ascii="仿宋" w:hAnsi="仿宋" w:eastAsia="仿宋" w:cs="仿宋"/>
          <w:b w:val="0"/>
          <w:bCs w:val="0"/>
          <w:kern w:val="2"/>
          <w:sz w:val="32"/>
          <w:szCs w:val="40"/>
          <w:lang w:val="en-US" w:eastAsia="zh-CN" w:bidi="ar-SA"/>
        </w:rPr>
        <w:t>做合格的人民教师。</w:t>
      </w:r>
      <w:r>
        <w:rPr>
          <w:rFonts w:hint="eastAsia" w:ascii="仿宋_GB2312" w:eastAsia="仿宋_GB2312" w:cs="Times New Roman"/>
          <w:b w:val="0"/>
          <w:bCs w:val="0"/>
          <w:color w:val="auto"/>
          <w:kern w:val="2"/>
          <w:sz w:val="32"/>
          <w:szCs w:val="32"/>
          <w:lang w:val="en-US" w:eastAsia="zh-CN" w:bidi="ar-SA"/>
        </w:rPr>
        <w:t>以“三会一课”为载体，邀请支部书记上党课，组织专题学习交流研讨活动，实现学习教育从专场到日常延伸。二是拓宽党史学习阵地，提升学习教育热度。</w:t>
      </w:r>
      <w:r>
        <w:rPr>
          <w:rFonts w:hint="default" w:ascii="仿宋" w:hAnsi="仿宋" w:eastAsia="仿宋" w:cs="仿宋"/>
          <w:b w:val="0"/>
          <w:bCs w:val="0"/>
          <w:kern w:val="2"/>
          <w:sz w:val="32"/>
          <w:szCs w:val="40"/>
          <w:lang w:val="en-US" w:eastAsia="zh-CN" w:bidi="ar-SA"/>
        </w:rPr>
        <w:t>组织师生前往吉安革命烈士纪</w:t>
      </w:r>
      <w:r>
        <w:rPr>
          <w:rFonts w:hint="eastAsia" w:ascii="仿宋" w:hAnsi="仿宋" w:eastAsia="仿宋" w:cs="仿宋"/>
          <w:b w:val="0"/>
          <w:bCs w:val="0"/>
          <w:kern w:val="2"/>
          <w:sz w:val="32"/>
          <w:szCs w:val="40"/>
          <w:lang w:val="en-US" w:eastAsia="zh-CN" w:bidi="ar-SA"/>
        </w:rPr>
        <w:t>园进行扫墓活动，通过</w:t>
      </w:r>
      <w:r>
        <w:rPr>
          <w:rFonts w:hint="default" w:ascii="仿宋" w:hAnsi="仿宋" w:eastAsia="仿宋" w:cs="仿宋"/>
          <w:b w:val="0"/>
          <w:bCs w:val="0"/>
          <w:kern w:val="2"/>
          <w:sz w:val="32"/>
          <w:szCs w:val="40"/>
          <w:lang w:val="en-US" w:eastAsia="zh-CN" w:bidi="ar-SA"/>
        </w:rPr>
        <w:t>聆听</w:t>
      </w:r>
      <w:r>
        <w:rPr>
          <w:rFonts w:hint="eastAsia" w:ascii="仿宋" w:hAnsi="仿宋" w:eastAsia="仿宋" w:cs="仿宋"/>
          <w:b w:val="0"/>
          <w:bCs w:val="0"/>
          <w:kern w:val="2"/>
          <w:sz w:val="32"/>
          <w:szCs w:val="40"/>
          <w:lang w:val="en-US" w:eastAsia="zh-CN" w:bidi="ar-SA"/>
        </w:rPr>
        <w:t>红色</w:t>
      </w:r>
      <w:r>
        <w:rPr>
          <w:rFonts w:hint="default" w:ascii="仿宋" w:hAnsi="仿宋" w:eastAsia="仿宋" w:cs="仿宋"/>
          <w:b w:val="0"/>
          <w:bCs w:val="0"/>
          <w:kern w:val="2"/>
          <w:sz w:val="32"/>
          <w:szCs w:val="40"/>
          <w:lang w:val="en-US" w:eastAsia="zh-CN" w:bidi="ar-SA"/>
        </w:rPr>
        <w:t>故事</w:t>
      </w:r>
      <w:r>
        <w:rPr>
          <w:rFonts w:hint="eastAsia" w:ascii="仿宋" w:hAnsi="仿宋" w:eastAsia="仿宋" w:cs="仿宋"/>
          <w:b w:val="0"/>
          <w:bCs w:val="0"/>
          <w:kern w:val="2"/>
          <w:sz w:val="32"/>
          <w:szCs w:val="40"/>
          <w:lang w:val="en-US" w:eastAsia="zh-CN" w:bidi="ar-SA"/>
        </w:rPr>
        <w:t>、重温誓词、向先烈默哀等，</w:t>
      </w:r>
      <w:r>
        <w:rPr>
          <w:rFonts w:hint="default" w:ascii="仿宋" w:hAnsi="仿宋" w:eastAsia="仿宋" w:cs="仿宋"/>
          <w:b w:val="0"/>
          <w:bCs w:val="0"/>
          <w:kern w:val="2"/>
          <w:sz w:val="32"/>
          <w:szCs w:val="40"/>
          <w:lang w:val="en-US" w:eastAsia="zh-CN" w:bidi="ar-SA"/>
        </w:rPr>
        <w:t>了解深厚历史，回味红色精神</w:t>
      </w:r>
      <w:r>
        <w:rPr>
          <w:rFonts w:hint="eastAsia" w:ascii="仿宋_GB2312" w:eastAsia="仿宋_GB2312" w:cs="Times New Roman"/>
          <w:b w:val="0"/>
          <w:bCs w:val="0"/>
          <w:color w:val="auto"/>
          <w:kern w:val="2"/>
          <w:sz w:val="32"/>
          <w:szCs w:val="32"/>
          <w:lang w:val="en-US" w:eastAsia="zh-CN" w:bidi="ar-SA"/>
        </w:rPr>
        <w:t>。在教学楼文化走廊、教室、办公场所设置专题展板、悬挂宣传标语，引导师生在潜移默化中把党史植根于心。三是开展形式多样党日活动，提升学习教育广度。通过唱红色歌曲、看红色影片、讲红色故事、跳红色舞蹈等形式学党史、讲党史，引导全校师生主动学习、领悟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8.2.2</w:t>
      </w:r>
      <w:r>
        <w:rPr>
          <w:rFonts w:hint="eastAsia" w:ascii="仿宋" w:hAnsi="仿宋" w:eastAsia="仿宋" w:cs="仿宋"/>
          <w:b w:val="0"/>
          <w:bCs w:val="0"/>
          <w:color w:val="auto"/>
          <w:sz w:val="32"/>
          <w:szCs w:val="32"/>
          <w:lang w:eastAsia="zh-CN"/>
        </w:rPr>
        <w:t>植根经典阅读，打造书香校园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_GB2312" w:hAnsi="仿宋" w:eastAsia="仿宋_GB2312" w:cs="仿宋"/>
          <w:bCs/>
          <w:sz w:val="32"/>
          <w:szCs w:val="32"/>
          <w:lang w:val="en-US" w:eastAsia="zh-CN"/>
        </w:rPr>
        <w:t>学校利用宣传栏、教师板块、广播室、校刊等宣传阵地，开展书香校园宣传教育活动。学院图书馆环境优美，书籍种类繁多，借阅便捷，学校每周安排学生进入图书馆借阅自习，培养学生爱读书、会读书的习惯，要求每上图书馆阅读一次必须写一篇读书心得。</w:t>
      </w:r>
      <w:r>
        <w:rPr>
          <w:rFonts w:hint="eastAsia" w:ascii="仿宋" w:hAnsi="仿宋" w:eastAsia="仿宋" w:cs="仿宋_GB2312"/>
          <w:sz w:val="32"/>
          <w:szCs w:val="32"/>
        </w:rPr>
        <w:t>充分听取师生意见，</w:t>
      </w:r>
      <w:r>
        <w:rPr>
          <w:rFonts w:hint="eastAsia" w:ascii="仿宋" w:hAnsi="仿宋" w:eastAsia="仿宋" w:cs="仿宋_GB2312"/>
          <w:sz w:val="32"/>
          <w:szCs w:val="32"/>
          <w:lang w:eastAsia="zh-CN"/>
        </w:rPr>
        <w:t>选择</w:t>
      </w:r>
      <w:r>
        <w:rPr>
          <w:rFonts w:hint="eastAsia" w:ascii="仿宋" w:hAnsi="仿宋" w:eastAsia="仿宋" w:cs="仿宋_GB2312"/>
          <w:sz w:val="32"/>
          <w:szCs w:val="32"/>
        </w:rPr>
        <w:t>适合学生阅读的各类图书，如：红色文化、国学经典、自然科学、教育教学等</w:t>
      </w:r>
      <w:r>
        <w:rPr>
          <w:rFonts w:hint="eastAsia" w:ascii="仿宋" w:hAnsi="仿宋" w:eastAsia="仿宋" w:cs="仿宋_GB2312"/>
          <w:sz w:val="32"/>
          <w:szCs w:val="32"/>
          <w:lang w:eastAsia="zh-CN"/>
        </w:rPr>
        <w:t>，要求学生</w:t>
      </w:r>
      <w:r>
        <w:rPr>
          <w:rFonts w:hint="eastAsia" w:ascii="仿宋" w:hAnsi="仿宋" w:eastAsia="仿宋" w:cs="仿宋_GB2312"/>
          <w:sz w:val="32"/>
          <w:szCs w:val="32"/>
        </w:rPr>
        <w:t>每学年需完成6-8</w:t>
      </w:r>
      <w:r>
        <w:rPr>
          <w:rFonts w:hint="eastAsia" w:ascii="仿宋" w:hAnsi="仿宋" w:eastAsia="仿宋" w:cs="仿宋_GB2312"/>
          <w:color w:val="000000" w:themeColor="text1"/>
          <w:sz w:val="32"/>
          <w:szCs w:val="32"/>
          <w14:textFill>
            <w14:solidFill>
              <w14:schemeClr w14:val="tx1"/>
            </w14:solidFill>
          </w14:textFill>
        </w:rPr>
        <w:t>部作品</w:t>
      </w:r>
      <w:r>
        <w:rPr>
          <w:rFonts w:hint="eastAsia" w:ascii="仿宋" w:hAnsi="仿宋" w:eastAsia="仿宋" w:cs="仿宋_GB2312"/>
          <w:sz w:val="32"/>
          <w:szCs w:val="32"/>
        </w:rPr>
        <w:t>的阅读。邀请相关专业教师开展作品导读的讲座</w:t>
      </w:r>
      <w:r>
        <w:rPr>
          <w:rFonts w:hint="eastAsia" w:ascii="仿宋" w:hAnsi="仿宋" w:eastAsia="仿宋" w:cs="仿宋_GB2312"/>
          <w:sz w:val="32"/>
          <w:szCs w:val="32"/>
          <w:lang w:eastAsia="zh-CN"/>
        </w:rPr>
        <w:t>，</w:t>
      </w:r>
      <w:r>
        <w:rPr>
          <w:rFonts w:hint="eastAsia" w:ascii="仿宋" w:hAnsi="仿宋" w:eastAsia="仿宋" w:cs="仿宋_GB2312"/>
          <w:sz w:val="32"/>
          <w:szCs w:val="32"/>
        </w:rPr>
        <w:t>提供有效的阅读方法，在激发学生学习兴趣的同时提倡个性阅读，帮助学生读好书</w:t>
      </w:r>
      <w:r>
        <w:rPr>
          <w:rFonts w:hint="eastAsia" w:ascii="仿宋" w:hAnsi="仿宋" w:eastAsia="仿宋" w:cs="仿宋_GB2312"/>
          <w:sz w:val="32"/>
          <w:szCs w:val="32"/>
          <w:lang w:eastAsia="zh-CN"/>
        </w:rPr>
        <w:t>；</w:t>
      </w:r>
      <w:r>
        <w:rPr>
          <w:rFonts w:hint="eastAsia" w:ascii="仿宋" w:hAnsi="仿宋" w:eastAsia="仿宋" w:cs="仿宋_GB2312"/>
          <w:sz w:val="32"/>
          <w:szCs w:val="32"/>
        </w:rPr>
        <w:t>安排</w:t>
      </w:r>
      <w:r>
        <w:rPr>
          <w:rFonts w:hint="eastAsia" w:ascii="仿宋" w:hAnsi="仿宋" w:eastAsia="仿宋" w:cs="仿宋_GB2312"/>
          <w:sz w:val="32"/>
          <w:szCs w:val="32"/>
          <w:lang w:eastAsia="zh-CN"/>
        </w:rPr>
        <w:t>读书沙龙，规定每</w:t>
      </w:r>
      <w:r>
        <w:rPr>
          <w:rFonts w:hint="eastAsia" w:ascii="仿宋" w:hAnsi="仿宋" w:eastAsia="仿宋" w:cs="仿宋_GB2312"/>
          <w:color w:val="000000" w:themeColor="text1"/>
          <w:sz w:val="32"/>
          <w:szCs w:val="32"/>
          <w14:textFill>
            <w14:solidFill>
              <w14:schemeClr w14:val="tx1"/>
            </w14:solidFill>
          </w14:textFill>
        </w:rPr>
        <w:t>周三下午集体阅读</w:t>
      </w:r>
      <w:r>
        <w:rPr>
          <w:rFonts w:hint="eastAsia" w:ascii="仿宋" w:hAnsi="仿宋" w:eastAsia="仿宋" w:cs="仿宋_GB2312"/>
          <w:sz w:val="32"/>
          <w:szCs w:val="32"/>
        </w:rPr>
        <w:t>，保证学生有充足的时间阅读作品，形成良好的阅读习惯</w:t>
      </w:r>
      <w:r>
        <w:rPr>
          <w:rFonts w:hint="eastAsia" w:ascii="仿宋" w:hAnsi="仿宋" w:eastAsia="仿宋" w:cs="仿宋_GB2312"/>
          <w:sz w:val="32"/>
          <w:szCs w:val="32"/>
          <w:lang w:eastAsia="zh-CN"/>
        </w:rPr>
        <w:t>；</w:t>
      </w:r>
      <w:r>
        <w:rPr>
          <w:rFonts w:hint="eastAsia" w:ascii="仿宋" w:hAnsi="仿宋" w:eastAsia="仿宋" w:cs="仿宋_GB2312"/>
          <w:sz w:val="32"/>
          <w:szCs w:val="32"/>
        </w:rPr>
        <w:t>班级不定期举办读书交流会，在交流中增进对作品的了解。</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8.2.3</w:t>
      </w:r>
      <w:r>
        <w:rPr>
          <w:rFonts w:hint="eastAsia" w:ascii="仿宋" w:hAnsi="仿宋" w:eastAsia="仿宋" w:cs="仿宋"/>
          <w:b w:val="0"/>
          <w:bCs w:val="0"/>
          <w:sz w:val="32"/>
          <w:szCs w:val="32"/>
          <w:lang w:eastAsia="zh-CN"/>
        </w:rPr>
        <w:t>创建文明校园，营造和谐文化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cs="仿宋"/>
          <w:bCs/>
          <w:sz w:val="32"/>
          <w:szCs w:val="32"/>
          <w:lang w:val="en-US" w:eastAsia="zh-CN"/>
        </w:rPr>
      </w:pPr>
      <w:r>
        <w:rPr>
          <w:rFonts w:hint="eastAsia" w:ascii="仿宋" w:hAnsi="仿宋" w:eastAsia="仿宋" w:cs="仿宋_GB2312"/>
          <w:sz w:val="32"/>
          <w:szCs w:val="32"/>
        </w:rPr>
        <w:t xml:space="preserve">   </w:t>
      </w:r>
      <w:r>
        <w:rPr>
          <w:rFonts w:hint="eastAsia" w:ascii="仿宋_GB2312" w:eastAsia="仿宋_GB2312" w:cs="Times New Roman"/>
          <w:b w:val="0"/>
          <w:bCs w:val="0"/>
          <w:color w:val="auto"/>
          <w:kern w:val="2"/>
          <w:sz w:val="32"/>
          <w:szCs w:val="32"/>
          <w:lang w:val="en-US" w:eastAsia="zh-CN" w:bidi="ar-SA"/>
        </w:rPr>
        <w:t xml:space="preserve"> </w:t>
      </w:r>
      <w:r>
        <w:rPr>
          <w:rFonts w:hint="eastAsia" w:ascii="仿宋_GB2312" w:hAnsi="仿宋" w:eastAsia="仿宋_GB2312" w:cs="仿宋"/>
          <w:bCs/>
          <w:sz w:val="32"/>
          <w:szCs w:val="32"/>
          <w:lang w:val="en-US" w:eastAsia="zh-CN"/>
        </w:rPr>
        <w:t>一是开展文明礼仪教育活动。开展了道德讲堂活动，弘扬文明有礼、自强自立、诚实守信、尽责奉献、孝老爱亲、助人为乐等中华传统美德，引导学生树立心向党、爱劳动、有礼貌的价值追求。举办了“文明守纪”情景剧比赛，用学生喜闻见乐的方式，将文明礼仪教育融入活动中。开展了文明雅舍评比活动，促进了学生养成良好的生活习惯，提高同学们宿舍文化品位，深化宿舍文明观念。二是推动志愿服务全员化，打造志愿者之校，青年志愿者注册覆盖100%。开展了敬老爱老志愿服务，前往敬老院关爱老人，为他们提供家政服务、文艺表演、心理辅导等志愿服务。开展了护幼志愿服务，为留守儿童、困难职工和农民工子女提供学业辅导、亲情关爱、自护教育、爱心捐赠，前往周边小学幼儿园开展支教志愿服务。开展了环保志愿服务，结合“爱吉安 我捡跑”、“河小青”等活动，开展环保宣传、清洁校园、服务社区等志愿活动。校内外各类志愿者活动30余次，长期支教乡村小学两所。学生前往吉安市阳光学校开展支教活动，社会反响良好，被吉安大视界新媒体平台报道。</w:t>
      </w:r>
    </w:p>
    <w:p>
      <w:pPr>
        <w:pStyle w:val="2"/>
        <w:ind w:left="0" w:leftChars="0" w:firstLine="0" w:firstLineChars="0"/>
        <w:jc w:val="center"/>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drawing>
          <wp:inline distT="0" distB="0" distL="114300" distR="114300">
            <wp:extent cx="4640580" cy="2955290"/>
            <wp:effectExtent l="0" t="0" r="7620" b="16510"/>
            <wp:docPr id="12" name="图片 12" descr="7948845CCE1B0D275BB2A7A2B12_83995D16_2F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948845CCE1B0D275BB2A7A2B12_83995D16_2FDE2"/>
                    <pic:cNvPicPr>
                      <a:picLocks noChangeAspect="1"/>
                    </pic:cNvPicPr>
                  </pic:nvPicPr>
                  <pic:blipFill>
                    <a:blip r:embed="rId4"/>
                    <a:stretch>
                      <a:fillRect/>
                    </a:stretch>
                  </pic:blipFill>
                  <pic:spPr>
                    <a:xfrm>
                      <a:off x="0" y="0"/>
                      <a:ext cx="4640580" cy="2955290"/>
                    </a:xfrm>
                    <a:prstGeom prst="rect">
                      <a:avLst/>
                    </a:prstGeom>
                  </pic:spPr>
                </pic:pic>
              </a:graphicData>
            </a:graphic>
          </wp:inline>
        </w:drawing>
      </w:r>
    </w:p>
    <w:p>
      <w:pPr>
        <w:pStyle w:val="2"/>
        <w:ind w:left="0" w:leftChars="0" w:firstLine="0" w:firstLineChars="0"/>
        <w:jc w:val="both"/>
        <w:rPr>
          <w:rFonts w:hint="eastAsia" w:ascii="仿宋_GB2312" w:hAnsi="仿宋" w:eastAsia="仿宋_GB2312" w:cs="仿宋"/>
          <w:bCs/>
          <w:kern w:val="2"/>
          <w:sz w:val="32"/>
          <w:szCs w:val="32"/>
          <w:lang w:val="en-US" w:eastAsia="zh-CN" w:bidi="ar-SA"/>
        </w:rPr>
      </w:pPr>
    </w:p>
    <w:p>
      <w:pPr>
        <w:pStyle w:val="2"/>
        <w:ind w:left="0" w:leftChars="0" w:firstLine="0" w:firstLineChars="0"/>
        <w:jc w:val="center"/>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drawing>
          <wp:inline distT="0" distB="0" distL="114300" distR="114300">
            <wp:extent cx="4774565" cy="3577590"/>
            <wp:effectExtent l="0" t="0" r="6985" b="3810"/>
            <wp:docPr id="13" name="图片 13" descr="891C1EF91CFBB30666106107A79_BFD8AA60_3B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91C1EF91CFBB30666106107A79_BFD8AA60_3B906"/>
                    <pic:cNvPicPr>
                      <a:picLocks noChangeAspect="1"/>
                    </pic:cNvPicPr>
                  </pic:nvPicPr>
                  <pic:blipFill>
                    <a:blip r:embed="rId5"/>
                    <a:stretch>
                      <a:fillRect/>
                    </a:stretch>
                  </pic:blipFill>
                  <pic:spPr>
                    <a:xfrm>
                      <a:off x="0" y="0"/>
                      <a:ext cx="4774565" cy="3577590"/>
                    </a:xfrm>
                    <a:prstGeom prst="rect">
                      <a:avLst/>
                    </a:prstGeom>
                  </pic:spPr>
                </pic:pic>
              </a:graphicData>
            </a:graphic>
          </wp:inline>
        </w:drawing>
      </w:r>
    </w:p>
    <w:p>
      <w:pPr>
        <w:pStyle w:val="2"/>
        <w:ind w:left="0" w:leftChars="0" w:firstLine="0" w:firstLineChars="0"/>
        <w:jc w:val="center"/>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drawing>
          <wp:inline distT="0" distB="0" distL="114300" distR="114300">
            <wp:extent cx="4834255" cy="3137535"/>
            <wp:effectExtent l="0" t="0" r="4445" b="5715"/>
            <wp:docPr id="14" name="图片 14" descr="002447A573FD4E2470B8C737553_A3CD4B61_33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02447A573FD4E2470B8C737553_A3CD4B61_33C27"/>
                    <pic:cNvPicPr>
                      <a:picLocks noChangeAspect="1"/>
                    </pic:cNvPicPr>
                  </pic:nvPicPr>
                  <pic:blipFill>
                    <a:blip r:embed="rId6"/>
                    <a:stretch>
                      <a:fillRect/>
                    </a:stretch>
                  </pic:blipFill>
                  <pic:spPr>
                    <a:xfrm>
                      <a:off x="0" y="0"/>
                      <a:ext cx="4834255" cy="31375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 w:eastAsia="仿宋_GB2312" w:cs="仿宋"/>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1" w:fontKey="{BF425CFE-A03E-4769-A586-1DA2AADAE897}"/>
  </w:font>
  <w:font w:name="方正小标宋简体">
    <w:panose1 w:val="02000000000000000000"/>
    <w:charset w:val="86"/>
    <w:family w:val="auto"/>
    <w:pitch w:val="default"/>
    <w:sig w:usb0="00000001" w:usb1="08000000" w:usb2="00000000" w:usb3="00000000" w:csb0="00040000" w:csb1="00000000"/>
    <w:embedRegular r:id="rId2" w:fontKey="{15C24C03-99DC-4CD9-BF98-658EC91BF57B}"/>
  </w:font>
  <w:font w:name="仿宋_GB2312">
    <w:altName w:val="仿宋"/>
    <w:panose1 w:val="02010609030101010101"/>
    <w:charset w:val="86"/>
    <w:family w:val="modern"/>
    <w:pitch w:val="default"/>
    <w:sig w:usb0="00000000" w:usb1="00000000" w:usb2="00000000" w:usb3="00000000" w:csb0="00040000" w:csb1="00000000"/>
    <w:embedRegular r:id="rId3" w:fontKey="{6B7E6F12-BC51-4B27-B3F2-B3CFAF16B4A7}"/>
  </w:font>
  <w:font w:name="仿宋">
    <w:panose1 w:val="02010609060101010101"/>
    <w:charset w:val="86"/>
    <w:family w:val="auto"/>
    <w:pitch w:val="default"/>
    <w:sig w:usb0="800002BF" w:usb1="38CF7CFA" w:usb2="00000016" w:usb3="00000000" w:csb0="00040001" w:csb1="00000000"/>
    <w:embedRegular r:id="rId4" w:fontKey="{6551EC16-5484-451C-9FB5-51B14400C15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D5CB8"/>
    <w:rsid w:val="0B15429D"/>
    <w:rsid w:val="0C1725D9"/>
    <w:rsid w:val="0F675134"/>
    <w:rsid w:val="136578A4"/>
    <w:rsid w:val="13DA1122"/>
    <w:rsid w:val="16365201"/>
    <w:rsid w:val="166F6CC1"/>
    <w:rsid w:val="1AC32307"/>
    <w:rsid w:val="1B420DA7"/>
    <w:rsid w:val="1BD30E2D"/>
    <w:rsid w:val="1CE30F6F"/>
    <w:rsid w:val="1DC564D6"/>
    <w:rsid w:val="20DB53A4"/>
    <w:rsid w:val="20EE649B"/>
    <w:rsid w:val="21CB1FC2"/>
    <w:rsid w:val="23D75E84"/>
    <w:rsid w:val="243C2914"/>
    <w:rsid w:val="24886182"/>
    <w:rsid w:val="24E42FA2"/>
    <w:rsid w:val="282E0C69"/>
    <w:rsid w:val="2DCA7056"/>
    <w:rsid w:val="2DFC4562"/>
    <w:rsid w:val="2F2629F0"/>
    <w:rsid w:val="2F5C30B9"/>
    <w:rsid w:val="31F95739"/>
    <w:rsid w:val="320209E2"/>
    <w:rsid w:val="32077B2B"/>
    <w:rsid w:val="34A2025B"/>
    <w:rsid w:val="34FA5B3F"/>
    <w:rsid w:val="398F72D6"/>
    <w:rsid w:val="3A591255"/>
    <w:rsid w:val="3C214BE2"/>
    <w:rsid w:val="3F363254"/>
    <w:rsid w:val="400B3158"/>
    <w:rsid w:val="43364C70"/>
    <w:rsid w:val="45872111"/>
    <w:rsid w:val="45C25B0D"/>
    <w:rsid w:val="493C3775"/>
    <w:rsid w:val="4AE64F31"/>
    <w:rsid w:val="4CC01100"/>
    <w:rsid w:val="4DA15611"/>
    <w:rsid w:val="4DDD5FE1"/>
    <w:rsid w:val="4F047E43"/>
    <w:rsid w:val="4F0B7F86"/>
    <w:rsid w:val="5244420F"/>
    <w:rsid w:val="52F40BB6"/>
    <w:rsid w:val="53327690"/>
    <w:rsid w:val="540A32D5"/>
    <w:rsid w:val="542A2F84"/>
    <w:rsid w:val="551878E7"/>
    <w:rsid w:val="5727472E"/>
    <w:rsid w:val="58687B07"/>
    <w:rsid w:val="58B42FF7"/>
    <w:rsid w:val="58DB479F"/>
    <w:rsid w:val="59DA0C17"/>
    <w:rsid w:val="59EC156B"/>
    <w:rsid w:val="5A311F2E"/>
    <w:rsid w:val="5C1D1A94"/>
    <w:rsid w:val="5CCC71F5"/>
    <w:rsid w:val="62F947C3"/>
    <w:rsid w:val="64737FA7"/>
    <w:rsid w:val="65AE084F"/>
    <w:rsid w:val="692304C5"/>
    <w:rsid w:val="6C275AB4"/>
    <w:rsid w:val="6CB80592"/>
    <w:rsid w:val="6EE24354"/>
    <w:rsid w:val="70FD5CB8"/>
    <w:rsid w:val="748603E4"/>
    <w:rsid w:val="76E22DB8"/>
    <w:rsid w:val="777E2087"/>
    <w:rsid w:val="79194252"/>
    <w:rsid w:val="7AFE01BA"/>
    <w:rsid w:val="7B3A5BE7"/>
    <w:rsid w:val="7CD765E6"/>
    <w:rsid w:val="7D6A6A08"/>
    <w:rsid w:val="7DF033D3"/>
    <w:rsid w:val="7E830327"/>
    <w:rsid w:val="7EF8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firstLineChars="100"/>
    </w:pPr>
    <w:rPr>
      <w:rFonts w:ascii="Times New Roman" w:hAnsi="Times New Roman" w:eastAsia="宋体" w:cs="Times New Roman"/>
    </w:rPr>
  </w:style>
  <w:style w:type="paragraph" w:styleId="3">
    <w:name w:val="Body Text"/>
    <w:basedOn w:val="1"/>
    <w:qFormat/>
    <w:uiPriority w:val="0"/>
    <w:pPr>
      <w:spacing w:after="120"/>
    </w:pPr>
    <w:rPr>
      <w:szCs w:val="20"/>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13"/>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2020-12-24T07:28:00Z</dcterms:created>
  <dc:creator>小鬼怪 estelle 周</dc:creator>
  <cp:lastModifiedBy>小鬼怪 estelle 周</cp:lastModifiedBy>
  <cp:lastPrinted>2021-01-04T08:53:00Z</cp:lastPrinted>
  <dcterms:modified xsi:type="dcterms:W3CDTF">2021-11-23T08:50:50Z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176BE46E07204E2D85F95D918C5DA921</vt:lpwstr>
  </property>
</Properties>
</file>